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6C69" w14:textId="77777777" w:rsidR="009761DE" w:rsidRDefault="009761DE" w:rsidP="00AD5E45">
      <w:pPr>
        <w:rPr>
          <w:rFonts w:ascii="Calibri" w:hAnsi="Calibri" w:cs="Calibri"/>
          <w:b/>
          <w:sz w:val="26"/>
          <w:szCs w:val="26"/>
          <w:u w:val="single"/>
        </w:rPr>
      </w:pPr>
    </w:p>
    <w:p w14:paraId="67FA3205" w14:textId="77777777" w:rsidR="00147164" w:rsidRDefault="00147164" w:rsidP="00AD5E45">
      <w:pPr>
        <w:rPr>
          <w:rFonts w:ascii="Calibri" w:hAnsi="Calibri" w:cs="Calibri"/>
          <w:b/>
          <w:sz w:val="26"/>
          <w:szCs w:val="26"/>
          <w:u w:val="single"/>
        </w:rPr>
      </w:pPr>
    </w:p>
    <w:p w14:paraId="28661002" w14:textId="08E8D9DA" w:rsidR="00AD5E45" w:rsidRDefault="005A1F08" w:rsidP="00AD5E45">
      <w:pPr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Summary</w:t>
      </w:r>
    </w:p>
    <w:p w14:paraId="45F4A9D4" w14:textId="17A6BE39" w:rsidR="005A1F08" w:rsidRPr="005A1F08" w:rsidRDefault="00FC2189" w:rsidP="00AD5E45">
      <w:pPr>
        <w:rPr>
          <w:bCs/>
          <w:szCs w:val="24"/>
        </w:rPr>
      </w:pPr>
      <w:bookmarkStart w:id="0" w:name="_Hlk222215202"/>
      <w:r>
        <w:rPr>
          <w:bCs/>
          <w:szCs w:val="24"/>
        </w:rPr>
        <w:t>AB 1861</w:t>
      </w:r>
      <w:r w:rsidR="005A1F08">
        <w:rPr>
          <w:bCs/>
          <w:szCs w:val="24"/>
        </w:rPr>
        <w:t xml:space="preserve"> </w:t>
      </w:r>
      <w:r w:rsidR="00147164">
        <w:rPr>
          <w:bCs/>
          <w:szCs w:val="24"/>
        </w:rPr>
        <w:t>requires</w:t>
      </w:r>
      <w:r w:rsidR="005A1F08">
        <w:rPr>
          <w:bCs/>
          <w:szCs w:val="24"/>
        </w:rPr>
        <w:t xml:space="preserve"> the Department of Education on January 1, 2028, to create and maintain an online database of special education complaints </w:t>
      </w:r>
      <w:r w:rsidR="00BA483E">
        <w:rPr>
          <w:bCs/>
          <w:szCs w:val="24"/>
        </w:rPr>
        <w:t>which will include the number of investigated complaints, violations found, corrective action requirements that were met, all organized by specific local education agency (LEA).</w:t>
      </w:r>
    </w:p>
    <w:bookmarkEnd w:id="0"/>
    <w:p w14:paraId="4616F0BA" w14:textId="33E9F6C8" w:rsidR="008A1C1F" w:rsidRPr="00CC2746" w:rsidRDefault="008A1C1F" w:rsidP="00DC72E4">
      <w:pPr>
        <w:rPr>
          <w:rFonts w:ascii="Calibri" w:hAnsi="Calibri" w:cs="Calibri"/>
          <w:b/>
          <w:sz w:val="26"/>
          <w:szCs w:val="26"/>
          <w:u w:val="single"/>
        </w:rPr>
      </w:pPr>
    </w:p>
    <w:p w14:paraId="533F34C4" w14:textId="0A7BAFE1" w:rsidR="009D5455" w:rsidRPr="00CC2746" w:rsidRDefault="00AD5E45" w:rsidP="00DC72E4">
      <w:pPr>
        <w:rPr>
          <w:rFonts w:ascii="Calibri" w:hAnsi="Calibri" w:cs="Calibri"/>
          <w:b/>
          <w:sz w:val="26"/>
          <w:szCs w:val="26"/>
          <w:u w:val="single"/>
        </w:rPr>
      </w:pPr>
      <w:r w:rsidRPr="00CC2746">
        <w:rPr>
          <w:rFonts w:ascii="Calibri" w:hAnsi="Calibri" w:cs="Calibri"/>
          <w:b/>
          <w:sz w:val="26"/>
          <w:szCs w:val="26"/>
          <w:u w:val="single"/>
        </w:rPr>
        <w:t>Background</w:t>
      </w:r>
      <w:bookmarkStart w:id="1" w:name="_Hlk64904027"/>
    </w:p>
    <w:bookmarkEnd w:id="1"/>
    <w:p w14:paraId="42B13F93" w14:textId="1362B93C" w:rsidR="009761DE" w:rsidRDefault="009761DE" w:rsidP="009761DE">
      <w:r>
        <w:t xml:space="preserve">Under existing federal and state law, students with disabilities are entitled to a free appropriate public education (FAPE) which </w:t>
      </w:r>
      <w:r w:rsidR="00147164">
        <w:t xml:space="preserve">covers </w:t>
      </w:r>
      <w:r>
        <w:t xml:space="preserve">individuals </w:t>
      </w:r>
      <w:r w:rsidR="00147164">
        <w:t xml:space="preserve">under the </w:t>
      </w:r>
      <w:r>
        <w:t>Disabilities Education Act (IDEA). When a parent or guardian believes a school district has violated a student’s rights under IDEA, they may file a complaint with the California Department of Education (CDE)</w:t>
      </w:r>
      <w:r w:rsidR="00147164">
        <w:t>.</w:t>
      </w:r>
    </w:p>
    <w:p w14:paraId="2C139ABB" w14:textId="77777777" w:rsidR="009761DE" w:rsidRDefault="009761DE" w:rsidP="009761DE"/>
    <w:p w14:paraId="24E0C13F" w14:textId="59EC6EA0" w:rsidR="009761DE" w:rsidRDefault="009761DE" w:rsidP="009761DE">
      <w:r>
        <w:t>Current law requires CDE to investigate these complaints and issue a written decision within 60 days. These findings and declarations in those written decisions must be made available to the public after personally identifiable information is removed</w:t>
      </w:r>
      <w:r w:rsidR="001574A0">
        <w:t xml:space="preserve">, however, only if a Public Records Act (PRA) is </w:t>
      </w:r>
      <w:r w:rsidR="00AB5F72">
        <w:t>submitted</w:t>
      </w:r>
      <w:r>
        <w:t xml:space="preserve">. </w:t>
      </w:r>
      <w:r w:rsidR="00AB5F72">
        <w:t>Importantly</w:t>
      </w:r>
      <w:r>
        <w:t xml:space="preserve">, existing law does not require the Department to maintain a centralized, searchable, or easily accessible online database of these complaints and </w:t>
      </w:r>
      <w:r w:rsidR="00AB5F72">
        <w:t xml:space="preserve">related </w:t>
      </w:r>
      <w:r>
        <w:t>decisions</w:t>
      </w:r>
      <w:r w:rsidR="00AB5F72">
        <w:t xml:space="preserve"> and investi</w:t>
      </w:r>
      <w:r w:rsidR="00D772E9">
        <w:t>gation.</w:t>
      </w:r>
    </w:p>
    <w:p w14:paraId="00C6B20D" w14:textId="77777777" w:rsidR="009761DE" w:rsidRDefault="009761DE" w:rsidP="009761DE"/>
    <w:p w14:paraId="5D62555E" w14:textId="0723BAEC" w:rsidR="009761DE" w:rsidRDefault="009761DE" w:rsidP="009761DE">
      <w:r>
        <w:t xml:space="preserve">As a result, information is technically public but difficult for families, advocates, attorneys, and school districts to locate and analyze. </w:t>
      </w:r>
    </w:p>
    <w:p w14:paraId="61B8B625" w14:textId="77777777" w:rsidR="009761DE" w:rsidRDefault="009761DE" w:rsidP="00DC72E4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</w:p>
    <w:p w14:paraId="54A55FDC" w14:textId="1867D08F" w:rsidR="00AD5E45" w:rsidRPr="00CC2746" w:rsidRDefault="00AD5E45" w:rsidP="00DC72E4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  <w:r w:rsidRPr="00CC2746">
        <w:rPr>
          <w:rFonts w:ascii="Calibri" w:hAnsi="Calibri" w:cs="Calibri"/>
          <w:b/>
          <w:sz w:val="26"/>
          <w:szCs w:val="26"/>
          <w:u w:val="single"/>
        </w:rPr>
        <w:t>The Problem</w:t>
      </w:r>
    </w:p>
    <w:p w14:paraId="753503EE" w14:textId="0FEF6528" w:rsidR="009761DE" w:rsidRDefault="001574A0" w:rsidP="009761DE">
      <w:r>
        <w:t>Currently there</w:t>
      </w:r>
      <w:r w:rsidR="009761DE">
        <w:t xml:space="preserve"> is no centralized or searchable system to access </w:t>
      </w:r>
      <w:r w:rsidR="00AB5F72">
        <w:t>special education complaints and related hearing decisions and investigation reports</w:t>
      </w:r>
      <w:r w:rsidR="009761DE">
        <w:t>, leaving parents, advocates, and policymakers without reliable data on systemic issues.</w:t>
      </w:r>
    </w:p>
    <w:p w14:paraId="360976A0" w14:textId="77777777" w:rsidR="009761DE" w:rsidRDefault="009761DE" w:rsidP="009761DE"/>
    <w:p w14:paraId="1B0E9750" w14:textId="77777777" w:rsidR="00BA483E" w:rsidRDefault="009761DE" w:rsidP="009761DE">
      <w:r>
        <w:t xml:space="preserve">According to national dispute resolution data, there were nearly 10,000 written state complaints filed in </w:t>
      </w:r>
    </w:p>
    <w:p w14:paraId="49658799" w14:textId="77777777" w:rsidR="00BA483E" w:rsidRDefault="00BA483E" w:rsidP="009761DE"/>
    <w:p w14:paraId="16B77783" w14:textId="77777777" w:rsidR="00BA483E" w:rsidRDefault="00BA483E" w:rsidP="009761DE"/>
    <w:p w14:paraId="539BB620" w14:textId="77777777" w:rsidR="00BA483E" w:rsidRDefault="00BA483E" w:rsidP="009761DE"/>
    <w:p w14:paraId="218B6620" w14:textId="17708B46" w:rsidR="009761DE" w:rsidRDefault="009761DE" w:rsidP="009761DE">
      <w:proofErr w:type="gramStart"/>
      <w:r>
        <w:t>the 2023</w:t>
      </w:r>
      <w:proofErr w:type="gramEnd"/>
      <w:r>
        <w:t xml:space="preserve">-24 school year, a 22% increase compared to the prior year and a 79% rise over the previous </w:t>
      </w:r>
    </w:p>
    <w:p w14:paraId="0DE4BA06" w14:textId="2AA21901" w:rsidR="009761DE" w:rsidRDefault="009761DE" w:rsidP="009761DE">
      <w:r>
        <w:t xml:space="preserve">decades average, which indicates a rising demand for complaint resolution services. </w:t>
      </w:r>
    </w:p>
    <w:p w14:paraId="6208A70E" w14:textId="77777777" w:rsidR="009761DE" w:rsidRDefault="009761DE" w:rsidP="009761DE"/>
    <w:p w14:paraId="1AC135B3" w14:textId="2418AF45" w:rsidR="009761DE" w:rsidRDefault="009761DE" w:rsidP="009761DE">
      <w:r>
        <w:t>Written state complaints are the only formal process that anyone can file to initiate a state level investigation into special education compliance, and about 63% of these complaints result in findings of non-compliance.</w:t>
      </w:r>
    </w:p>
    <w:p w14:paraId="3C8FC31A" w14:textId="28EF50E4" w:rsidR="00A82A7D" w:rsidRPr="00CC2746" w:rsidRDefault="00A82A7D" w:rsidP="00A82A7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Cs/>
          <w:sz w:val="26"/>
          <w:szCs w:val="26"/>
        </w:rPr>
      </w:pPr>
    </w:p>
    <w:p w14:paraId="52FF5C04" w14:textId="60915F47" w:rsidR="00AD5E45" w:rsidRPr="00CC2746" w:rsidRDefault="00AD5E45" w:rsidP="00DC72E4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  <w:r w:rsidRPr="00CC2746">
        <w:rPr>
          <w:rFonts w:ascii="Calibri" w:hAnsi="Calibri" w:cs="Calibri"/>
          <w:b/>
          <w:sz w:val="26"/>
          <w:szCs w:val="26"/>
          <w:u w:val="single"/>
        </w:rPr>
        <w:t>Solution</w:t>
      </w:r>
    </w:p>
    <w:p w14:paraId="31CA51CD" w14:textId="5429C59F" w:rsidR="009761DE" w:rsidRDefault="00F733A3" w:rsidP="009761DE">
      <w:r>
        <w:t>AB 1861</w:t>
      </w:r>
      <w:r w:rsidR="009761DE">
        <w:t xml:space="preserve"> strengthens transparency and accountability in special education complaint enforcement by requiring the California Department of Education to create and maintain a centralized publicly accessible online database of complaints</w:t>
      </w:r>
      <w:r w:rsidR="00AB5F72">
        <w:t xml:space="preserve">, </w:t>
      </w:r>
      <w:r w:rsidR="009761DE">
        <w:t>decisions</w:t>
      </w:r>
      <w:r w:rsidR="00AB5F72">
        <w:t>, and investigation reports</w:t>
      </w:r>
      <w:r w:rsidR="009761DE">
        <w:t xml:space="preserve">. By modernizing access to </w:t>
      </w:r>
      <w:r w:rsidR="00AB5F72">
        <w:t>this data</w:t>
      </w:r>
      <w:r w:rsidR="009761DE">
        <w:t xml:space="preserve">, the bill promotes transparency, consistency, and informed policymaking, while maintaining student privacy protections.  </w:t>
      </w:r>
    </w:p>
    <w:p w14:paraId="3F7C8D3B" w14:textId="77777777" w:rsidR="009761DE" w:rsidRDefault="009761DE" w:rsidP="00DE086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</w:p>
    <w:p w14:paraId="7002E940" w14:textId="1FDB69F5" w:rsidR="00DE086D" w:rsidRPr="00CC2746" w:rsidRDefault="0050441E" w:rsidP="00DE086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  <w:r w:rsidRPr="00CC2746">
        <w:rPr>
          <w:rFonts w:ascii="Calibri" w:hAnsi="Calibri" w:cs="Calibri"/>
          <w:b/>
          <w:sz w:val="26"/>
          <w:szCs w:val="26"/>
          <w:u w:val="single"/>
        </w:rPr>
        <w:t>Staff Contact</w:t>
      </w:r>
    </w:p>
    <w:p w14:paraId="1D1C54B3" w14:textId="01BC2AD9" w:rsidR="00AD5E45" w:rsidRPr="009761DE" w:rsidRDefault="001574A0" w:rsidP="00AD5E45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  <w:r>
        <w:rPr>
          <w:szCs w:val="24"/>
        </w:rPr>
        <w:t>Izzy Swindler</w:t>
      </w:r>
    </w:p>
    <w:p w14:paraId="62EA0CE6" w14:textId="2E85F17A" w:rsidR="00AD5E45" w:rsidRPr="009761DE" w:rsidRDefault="00917060" w:rsidP="00AD5E45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  <w:r w:rsidRPr="009761DE">
        <w:rPr>
          <w:szCs w:val="24"/>
        </w:rPr>
        <w:t>(916) 319-2034</w:t>
      </w:r>
    </w:p>
    <w:p w14:paraId="6D6445A8" w14:textId="29BC636F" w:rsidR="00A25C83" w:rsidRDefault="001574A0" w:rsidP="00327D89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  <w:hyperlink r:id="rId7" w:history="1">
        <w:r w:rsidRPr="00BE1016">
          <w:rPr>
            <w:rStyle w:val="Hyperlink"/>
            <w:szCs w:val="24"/>
          </w:rPr>
          <w:t>izzy.swindler@asm.ca.gov</w:t>
        </w:r>
      </w:hyperlink>
      <w:r w:rsidR="00EA6826" w:rsidRPr="009761DE">
        <w:rPr>
          <w:szCs w:val="24"/>
        </w:rPr>
        <w:t xml:space="preserve"> </w:t>
      </w:r>
    </w:p>
    <w:p w14:paraId="3784926D" w14:textId="77777777" w:rsidR="00305456" w:rsidRDefault="00305456" w:rsidP="00327D89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</w:p>
    <w:p w14:paraId="4872F86D" w14:textId="7DB14ABB" w:rsidR="00174D3F" w:rsidRPr="00CC2746" w:rsidRDefault="00305456" w:rsidP="00305456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Sponsors</w:t>
      </w:r>
    </w:p>
    <w:p w14:paraId="43AE7089" w14:textId="3E243224" w:rsidR="00305456" w:rsidRDefault="00174D3F" w:rsidP="00174D3F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  <w:r>
        <w:rPr>
          <w:szCs w:val="24"/>
        </w:rPr>
        <w:t xml:space="preserve">Youth Justice Clinic at </w:t>
      </w:r>
      <w:r w:rsidR="00305456">
        <w:rPr>
          <w:szCs w:val="24"/>
        </w:rPr>
        <w:t>Loyola Law School Center for Juvenile Law &amp; Policy</w:t>
      </w:r>
    </w:p>
    <w:p w14:paraId="7FB2D256" w14:textId="77777777" w:rsidR="00174D3F" w:rsidRDefault="00174D3F" w:rsidP="00174D3F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</w:p>
    <w:p w14:paraId="5862F3CC" w14:textId="655B8CBA" w:rsidR="00174D3F" w:rsidRPr="009761DE" w:rsidRDefault="00174D3F" w:rsidP="00174D3F">
      <w:pPr>
        <w:pStyle w:val="Header"/>
        <w:tabs>
          <w:tab w:val="clear" w:pos="4320"/>
          <w:tab w:val="clear" w:pos="8640"/>
        </w:tabs>
        <w:spacing w:line="276" w:lineRule="auto"/>
        <w:rPr>
          <w:szCs w:val="24"/>
        </w:rPr>
      </w:pPr>
      <w:r>
        <w:rPr>
          <w:szCs w:val="24"/>
        </w:rPr>
        <w:t>Cancel the Contract AV</w:t>
      </w:r>
    </w:p>
    <w:sectPr w:rsidR="00174D3F" w:rsidRPr="009761DE" w:rsidSect="00941289">
      <w:headerReference w:type="default" r:id="rId8"/>
      <w:pgSz w:w="12240" w:h="15840" w:code="1"/>
      <w:pgMar w:top="720" w:right="720" w:bottom="720" w:left="720" w:header="270" w:footer="346" w:gutter="0"/>
      <w:cols w:num="2"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2210" w14:textId="77777777" w:rsidR="00B26831" w:rsidRDefault="00B26831" w:rsidP="00AD5E45">
      <w:r>
        <w:separator/>
      </w:r>
    </w:p>
  </w:endnote>
  <w:endnote w:type="continuationSeparator" w:id="0">
    <w:p w14:paraId="5E12C150" w14:textId="77777777" w:rsidR="00B26831" w:rsidRDefault="00B26831" w:rsidP="00AD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AEE2" w14:textId="77777777" w:rsidR="00B26831" w:rsidRDefault="00B26831" w:rsidP="00AD5E45">
      <w:r>
        <w:separator/>
      </w:r>
    </w:p>
  </w:footnote>
  <w:footnote w:type="continuationSeparator" w:id="0">
    <w:p w14:paraId="04EBCE3B" w14:textId="77777777" w:rsidR="00B26831" w:rsidRDefault="00B26831" w:rsidP="00AD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5AEC" w14:textId="0CE38F5A" w:rsidR="009761DE" w:rsidRPr="000713B8" w:rsidRDefault="00481470" w:rsidP="005B14DB">
    <w:pPr>
      <w:pStyle w:val="Header"/>
      <w:jc w:val="right"/>
      <w:rPr>
        <w:rFonts w:ascii="Agency FB" w:hAnsi="Agency FB" w:cs="Arial"/>
        <w:b/>
        <w:spacing w:val="16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3A92D6" wp14:editId="3D1FE639">
          <wp:simplePos x="0" y="0"/>
          <wp:positionH relativeFrom="column">
            <wp:posOffset>190500</wp:posOffset>
          </wp:positionH>
          <wp:positionV relativeFrom="paragraph">
            <wp:posOffset>-68580</wp:posOffset>
          </wp:positionV>
          <wp:extent cx="1581150" cy="1585595"/>
          <wp:effectExtent l="0" t="0" r="0" b="0"/>
          <wp:wrapNone/>
          <wp:docPr id="3" name="Picture 3" descr="California-Assembly-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lifornia-Assembly-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b/>
        <w:spacing w:val="16"/>
        <w:sz w:val="40"/>
        <w:szCs w:val="40"/>
      </w:rPr>
      <w:t xml:space="preserve">                                 </w:t>
    </w:r>
    <w:r w:rsidRPr="000713B8">
      <w:rPr>
        <w:rFonts w:ascii="Agency FB" w:hAnsi="Agency FB" w:cs="Arial"/>
        <w:b/>
        <w:spacing w:val="16"/>
        <w:sz w:val="36"/>
        <w:szCs w:val="36"/>
      </w:rPr>
      <w:t xml:space="preserve">Assemblyman Tom Lackey </w:t>
    </w:r>
    <w:r w:rsidR="00523262">
      <w:rPr>
        <w:rFonts w:ascii="Agency FB" w:hAnsi="Agency FB" w:cs="Arial"/>
        <w:b/>
        <w:spacing w:val="16"/>
        <w:sz w:val="36"/>
        <w:szCs w:val="36"/>
      </w:rPr>
      <w:t>34</w:t>
    </w:r>
    <w:r w:rsidRPr="000713B8">
      <w:rPr>
        <w:rFonts w:ascii="Agency FB" w:hAnsi="Agency FB" w:cs="Arial"/>
        <w:b/>
        <w:spacing w:val="16"/>
        <w:sz w:val="36"/>
        <w:szCs w:val="36"/>
        <w:vertAlign w:val="superscript"/>
      </w:rPr>
      <w:t>th</w:t>
    </w:r>
    <w:r w:rsidRPr="000713B8">
      <w:rPr>
        <w:rFonts w:ascii="Agency FB" w:hAnsi="Agency FB" w:cs="Arial"/>
        <w:b/>
        <w:spacing w:val="16"/>
        <w:sz w:val="36"/>
        <w:szCs w:val="36"/>
      </w:rPr>
      <w:t xml:space="preserve"> District</w:t>
    </w:r>
  </w:p>
  <w:p w14:paraId="2D25DAAA" w14:textId="77777777" w:rsidR="009761DE" w:rsidRDefault="00481470" w:rsidP="008D7981">
    <w:pPr>
      <w:pStyle w:val="Header"/>
      <w:jc w:val="center"/>
      <w:rPr>
        <w:rFonts w:ascii="Tahoma" w:hAnsi="Tahoma"/>
        <w:b/>
        <w:spacing w:val="16"/>
        <w:sz w:val="28"/>
      </w:rPr>
    </w:pPr>
    <w:r>
      <w:rPr>
        <w:rFonts w:ascii="Tahoma" w:hAnsi="Tahoma"/>
        <w:b/>
        <w:noProof/>
        <w:spacing w:val="16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CFE151" wp14:editId="41039447">
              <wp:simplePos x="0" y="0"/>
              <wp:positionH relativeFrom="column">
                <wp:posOffset>2009775</wp:posOffset>
              </wp:positionH>
              <wp:positionV relativeFrom="paragraph">
                <wp:posOffset>125095</wp:posOffset>
              </wp:positionV>
              <wp:extent cx="484822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82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F123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5pt,9.85pt" to="54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" o:allowincell="f" strokeweight="3pt">
              <v:stroke linestyle="thinThin"/>
            </v:line>
          </w:pict>
        </mc:Fallback>
      </mc:AlternateContent>
    </w:r>
    <w:r>
      <w:rPr>
        <w:rFonts w:ascii="Arial" w:hAnsi="Arial" w:cs="Arial"/>
        <w:b/>
        <w:spacing w:val="16"/>
        <w:sz w:val="40"/>
        <w:szCs w:val="40"/>
      </w:rPr>
      <w:t xml:space="preserve"> </w:t>
    </w:r>
  </w:p>
  <w:p w14:paraId="204277D0" w14:textId="77777777" w:rsidR="009761DE" w:rsidRPr="00CC53E3" w:rsidRDefault="009761DE" w:rsidP="007E533F">
    <w:pPr>
      <w:pStyle w:val="Header"/>
      <w:jc w:val="right"/>
      <w:rPr>
        <w:rFonts w:ascii="Footlight MT Light" w:hAnsi="Footlight MT Light" w:cs="Arial"/>
        <w:b/>
        <w:spacing w:val="16"/>
        <w:sz w:val="10"/>
        <w:szCs w:val="36"/>
      </w:rPr>
    </w:pPr>
  </w:p>
  <w:p w14:paraId="352FC6D0" w14:textId="04EAE6AB" w:rsidR="00174D3F" w:rsidRPr="00CB3B50" w:rsidRDefault="00481470" w:rsidP="00174D3F">
    <w:pPr>
      <w:pStyle w:val="Header"/>
      <w:jc w:val="right"/>
      <w:rPr>
        <w:rFonts w:ascii="Agency FB" w:hAnsi="Agency FB" w:cs="Arial"/>
        <w:b/>
        <w:spacing w:val="16"/>
        <w:sz w:val="36"/>
        <w:szCs w:val="40"/>
      </w:rPr>
    </w:pPr>
    <w:r w:rsidRPr="00CB3B50">
      <w:rPr>
        <w:rFonts w:ascii="Agency FB" w:hAnsi="Agency FB" w:cs="Arial"/>
        <w:b/>
        <w:spacing w:val="16"/>
        <w:sz w:val="36"/>
        <w:szCs w:val="40"/>
      </w:rPr>
      <w:t>AB</w:t>
    </w:r>
    <w:r w:rsidR="00AD5E45" w:rsidRPr="00CB3B50">
      <w:rPr>
        <w:rFonts w:ascii="Agency FB" w:hAnsi="Agency FB" w:cs="Arial"/>
        <w:b/>
        <w:spacing w:val="16"/>
        <w:sz w:val="36"/>
        <w:szCs w:val="40"/>
      </w:rPr>
      <w:t xml:space="preserve"> </w:t>
    </w:r>
    <w:r w:rsidR="00FC2189">
      <w:rPr>
        <w:rFonts w:ascii="Agency FB" w:hAnsi="Agency FB" w:cs="Arial"/>
        <w:b/>
        <w:spacing w:val="16"/>
        <w:sz w:val="36"/>
        <w:szCs w:val="40"/>
      </w:rPr>
      <w:t>1861</w:t>
    </w:r>
    <w:r w:rsidRPr="00CB3B50">
      <w:rPr>
        <w:rFonts w:ascii="Agency FB" w:hAnsi="Agency FB" w:cs="Arial"/>
        <w:b/>
        <w:spacing w:val="16"/>
        <w:sz w:val="36"/>
        <w:szCs w:val="40"/>
      </w:rPr>
      <w:t xml:space="preserve">: </w:t>
    </w:r>
    <w:r w:rsidR="00174D3F">
      <w:rPr>
        <w:rFonts w:ascii="Agency FB" w:hAnsi="Agency FB" w:cs="Arial"/>
        <w:b/>
        <w:spacing w:val="16"/>
        <w:sz w:val="36"/>
        <w:szCs w:val="40"/>
      </w:rPr>
      <w:t>Special Education</w:t>
    </w:r>
    <w:r w:rsidR="00147164">
      <w:rPr>
        <w:rFonts w:ascii="Agency FB" w:hAnsi="Agency FB" w:cs="Arial"/>
        <w:b/>
        <w:spacing w:val="16"/>
        <w:sz w:val="36"/>
        <w:szCs w:val="40"/>
      </w:rPr>
      <w:t xml:space="preserve"> </w:t>
    </w:r>
    <w:r w:rsidR="00FC2189">
      <w:rPr>
        <w:rFonts w:ascii="Agency FB" w:hAnsi="Agency FB" w:cs="Arial"/>
        <w:b/>
        <w:spacing w:val="16"/>
        <w:sz w:val="36"/>
        <w:szCs w:val="40"/>
      </w:rPr>
      <w:t>Database</w:t>
    </w:r>
  </w:p>
  <w:p w14:paraId="2E3C4B1F" w14:textId="77777777" w:rsidR="009761DE" w:rsidRPr="00CC53E3" w:rsidRDefault="009761DE" w:rsidP="007E533F">
    <w:pPr>
      <w:pStyle w:val="Header"/>
      <w:jc w:val="right"/>
      <w:rPr>
        <w:rFonts w:ascii="Footlight MT Light" w:hAnsi="Footlight MT Light" w:cs="Arial"/>
        <w:b/>
        <w:spacing w:val="16"/>
        <w:sz w:val="18"/>
        <w:szCs w:val="36"/>
      </w:rPr>
    </w:pPr>
  </w:p>
  <w:p w14:paraId="5A1ABA47" w14:textId="77777777" w:rsidR="009761DE" w:rsidRDefault="00481470">
    <w:pPr>
      <w:pStyle w:val="Header"/>
      <w:rPr>
        <w:rFonts w:ascii="Tahoma" w:hAnsi="Tahoma"/>
        <w:b/>
        <w:spacing w:val="16"/>
        <w:sz w:val="10"/>
      </w:rPr>
    </w:pPr>
    <w:r>
      <w:rPr>
        <w:rFonts w:ascii="Tahoma" w:hAnsi="Tahoma"/>
        <w:b/>
        <w:noProof/>
        <w:spacing w:val="16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C35F2" wp14:editId="098E49B4">
              <wp:simplePos x="0" y="0"/>
              <wp:positionH relativeFrom="column">
                <wp:posOffset>0</wp:posOffset>
              </wp:positionH>
              <wp:positionV relativeFrom="paragraph">
                <wp:posOffset>92075</wp:posOffset>
              </wp:positionV>
              <wp:extent cx="68580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F68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54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" o:allowincell="f" strokeweight="6pt">
              <v:stroke linestyle="thickBetwee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8B7"/>
    <w:multiLevelType w:val="hybridMultilevel"/>
    <w:tmpl w:val="1CAA19BC"/>
    <w:lvl w:ilvl="0" w:tplc="0ECE32CC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3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MDK0MLI0sLQ0NTRS0lEKTi0uzszPAykwrAUAIOj+OiwAAAA="/>
  </w:docVars>
  <w:rsids>
    <w:rsidRoot w:val="00AD5E45"/>
    <w:rsid w:val="00014FD9"/>
    <w:rsid w:val="00025B55"/>
    <w:rsid w:val="00027084"/>
    <w:rsid w:val="0004510F"/>
    <w:rsid w:val="00052944"/>
    <w:rsid w:val="000845B8"/>
    <w:rsid w:val="000944DF"/>
    <w:rsid w:val="000A45A1"/>
    <w:rsid w:val="000A6A5F"/>
    <w:rsid w:val="00131B67"/>
    <w:rsid w:val="00146776"/>
    <w:rsid w:val="00147164"/>
    <w:rsid w:val="001574A0"/>
    <w:rsid w:val="00174D3F"/>
    <w:rsid w:val="00175A04"/>
    <w:rsid w:val="001923BE"/>
    <w:rsid w:val="001C6FC8"/>
    <w:rsid w:val="001C7F7F"/>
    <w:rsid w:val="00204F89"/>
    <w:rsid w:val="00225585"/>
    <w:rsid w:val="00227443"/>
    <w:rsid w:val="00231C49"/>
    <w:rsid w:val="00234C75"/>
    <w:rsid w:val="0025444E"/>
    <w:rsid w:val="00266359"/>
    <w:rsid w:val="002666E1"/>
    <w:rsid w:val="0027719B"/>
    <w:rsid w:val="0029476D"/>
    <w:rsid w:val="002A03DA"/>
    <w:rsid w:val="002B4A65"/>
    <w:rsid w:val="002B7604"/>
    <w:rsid w:val="002D60AE"/>
    <w:rsid w:val="002E3770"/>
    <w:rsid w:val="003005EC"/>
    <w:rsid w:val="00302930"/>
    <w:rsid w:val="00305456"/>
    <w:rsid w:val="00305A76"/>
    <w:rsid w:val="00327D89"/>
    <w:rsid w:val="00333F19"/>
    <w:rsid w:val="00350820"/>
    <w:rsid w:val="003A098C"/>
    <w:rsid w:val="003B5537"/>
    <w:rsid w:val="00406279"/>
    <w:rsid w:val="00416E9D"/>
    <w:rsid w:val="0043528E"/>
    <w:rsid w:val="004470D7"/>
    <w:rsid w:val="00481470"/>
    <w:rsid w:val="00491956"/>
    <w:rsid w:val="00497D1C"/>
    <w:rsid w:val="004D50A0"/>
    <w:rsid w:val="004E4F0C"/>
    <w:rsid w:val="0050441E"/>
    <w:rsid w:val="00523262"/>
    <w:rsid w:val="005255DA"/>
    <w:rsid w:val="00546F00"/>
    <w:rsid w:val="00552D61"/>
    <w:rsid w:val="005A1F08"/>
    <w:rsid w:val="005C0690"/>
    <w:rsid w:val="005D0FF0"/>
    <w:rsid w:val="005D25F5"/>
    <w:rsid w:val="005D65A5"/>
    <w:rsid w:val="005E674A"/>
    <w:rsid w:val="005F656F"/>
    <w:rsid w:val="006424A5"/>
    <w:rsid w:val="00643E47"/>
    <w:rsid w:val="00654AB7"/>
    <w:rsid w:val="006752EE"/>
    <w:rsid w:val="006842C2"/>
    <w:rsid w:val="006845E7"/>
    <w:rsid w:val="00692C0E"/>
    <w:rsid w:val="006A2880"/>
    <w:rsid w:val="00702979"/>
    <w:rsid w:val="00734381"/>
    <w:rsid w:val="007417F5"/>
    <w:rsid w:val="00766316"/>
    <w:rsid w:val="00770588"/>
    <w:rsid w:val="00784DDF"/>
    <w:rsid w:val="007C799B"/>
    <w:rsid w:val="007C7BD6"/>
    <w:rsid w:val="007D704B"/>
    <w:rsid w:val="007E1B4C"/>
    <w:rsid w:val="007E6E3C"/>
    <w:rsid w:val="008057BF"/>
    <w:rsid w:val="00813918"/>
    <w:rsid w:val="00840693"/>
    <w:rsid w:val="00860D99"/>
    <w:rsid w:val="00867BD1"/>
    <w:rsid w:val="00890604"/>
    <w:rsid w:val="008A1C1F"/>
    <w:rsid w:val="008A4B18"/>
    <w:rsid w:val="008C3ED6"/>
    <w:rsid w:val="008D52C0"/>
    <w:rsid w:val="00917060"/>
    <w:rsid w:val="009220C6"/>
    <w:rsid w:val="00957C5D"/>
    <w:rsid w:val="00972ADA"/>
    <w:rsid w:val="009761DE"/>
    <w:rsid w:val="009871DC"/>
    <w:rsid w:val="009D5455"/>
    <w:rsid w:val="009F7EC7"/>
    <w:rsid w:val="00A24B5C"/>
    <w:rsid w:val="00A25C83"/>
    <w:rsid w:val="00A37ECF"/>
    <w:rsid w:val="00A45CA5"/>
    <w:rsid w:val="00A82A7D"/>
    <w:rsid w:val="00A84097"/>
    <w:rsid w:val="00A962F8"/>
    <w:rsid w:val="00AB0DD9"/>
    <w:rsid w:val="00AB5F72"/>
    <w:rsid w:val="00AC6A16"/>
    <w:rsid w:val="00AD5E45"/>
    <w:rsid w:val="00AD773B"/>
    <w:rsid w:val="00B058CE"/>
    <w:rsid w:val="00B26804"/>
    <w:rsid w:val="00B26831"/>
    <w:rsid w:val="00B31647"/>
    <w:rsid w:val="00B32127"/>
    <w:rsid w:val="00B41555"/>
    <w:rsid w:val="00B520C0"/>
    <w:rsid w:val="00B53C19"/>
    <w:rsid w:val="00BA483E"/>
    <w:rsid w:val="00BF3AA0"/>
    <w:rsid w:val="00C15B64"/>
    <w:rsid w:val="00C24751"/>
    <w:rsid w:val="00C31DFD"/>
    <w:rsid w:val="00C874D9"/>
    <w:rsid w:val="00C939FE"/>
    <w:rsid w:val="00CA0B5E"/>
    <w:rsid w:val="00CA3710"/>
    <w:rsid w:val="00CB1B1F"/>
    <w:rsid w:val="00CB3B50"/>
    <w:rsid w:val="00CC2746"/>
    <w:rsid w:val="00D03303"/>
    <w:rsid w:val="00D35ABF"/>
    <w:rsid w:val="00D37D6A"/>
    <w:rsid w:val="00D567DA"/>
    <w:rsid w:val="00D654CF"/>
    <w:rsid w:val="00D772E9"/>
    <w:rsid w:val="00D95FFE"/>
    <w:rsid w:val="00DC72E4"/>
    <w:rsid w:val="00DE086D"/>
    <w:rsid w:val="00E00EEE"/>
    <w:rsid w:val="00E30FFA"/>
    <w:rsid w:val="00E33F32"/>
    <w:rsid w:val="00E3492E"/>
    <w:rsid w:val="00E41B1C"/>
    <w:rsid w:val="00E43BA3"/>
    <w:rsid w:val="00E45AF7"/>
    <w:rsid w:val="00E614C2"/>
    <w:rsid w:val="00E63924"/>
    <w:rsid w:val="00E645F4"/>
    <w:rsid w:val="00E97E9A"/>
    <w:rsid w:val="00EA6826"/>
    <w:rsid w:val="00F02A0D"/>
    <w:rsid w:val="00F10CB9"/>
    <w:rsid w:val="00F1276C"/>
    <w:rsid w:val="00F26D33"/>
    <w:rsid w:val="00F5322B"/>
    <w:rsid w:val="00F72409"/>
    <w:rsid w:val="00F733A3"/>
    <w:rsid w:val="00F80890"/>
    <w:rsid w:val="00FB2529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82AD"/>
  <w15:chartTrackingRefBased/>
  <w15:docId w15:val="{B75D0156-F4DE-4EA3-A3DE-92C6077F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5E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5E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D5E45"/>
    <w:rPr>
      <w:color w:val="0000FF"/>
      <w:u w:val="single"/>
    </w:rPr>
  </w:style>
  <w:style w:type="paragraph" w:customStyle="1" w:styleId="Default">
    <w:name w:val="Default"/>
    <w:rsid w:val="00AD5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E45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9060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B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71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6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7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7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7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zy.swindler@asm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Maida, Mary</dc:creator>
  <cp:keywords/>
  <dc:description/>
  <cp:lastModifiedBy>Swindler, Izzy</cp:lastModifiedBy>
  <cp:revision>2</cp:revision>
  <cp:lastPrinted>2026-03-09T17:55:00Z</cp:lastPrinted>
  <dcterms:created xsi:type="dcterms:W3CDTF">2026-04-08T20:49:00Z</dcterms:created>
  <dcterms:modified xsi:type="dcterms:W3CDTF">2026-04-08T20:49:00Z</dcterms:modified>
</cp:coreProperties>
</file>